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688" w:rsidRPr="00D67688" w:rsidRDefault="00D67688" w:rsidP="00D67688">
      <w:pPr>
        <w:jc w:val="both"/>
        <w:rPr>
          <w:rFonts w:ascii="Arial" w:eastAsia="Times New Roman" w:hAnsi="Arial" w:cs="Arial"/>
          <w:sz w:val="22"/>
          <w:szCs w:val="22"/>
          <w:lang w:val="es-AR" w:eastAsia="es-ES_tradnl"/>
        </w:rPr>
      </w:pPr>
      <w:r w:rsidRPr="00D67688">
        <w:rPr>
          <w:rFonts w:ascii="Arial" w:eastAsia="Times New Roman" w:hAnsi="Arial" w:cs="Arial"/>
          <w:b/>
          <w:bCs/>
          <w:color w:val="000000"/>
          <w:sz w:val="22"/>
          <w:szCs w:val="22"/>
          <w:lang w:val="es-AR" w:eastAsia="es-ES_tradnl"/>
        </w:rPr>
        <w:t>Decreto 260/2020</w:t>
      </w:r>
      <w:r w:rsidRPr="00D67688">
        <w:rPr>
          <w:rFonts w:ascii="Arial" w:eastAsia="Times New Roman" w:hAnsi="Arial" w:cs="Arial"/>
          <w:b/>
          <w:bCs/>
          <w:color w:val="000000"/>
          <w:sz w:val="22"/>
          <w:szCs w:val="22"/>
          <w:lang w:val="es-AR" w:eastAsia="es-ES_tradnl"/>
        </w:rPr>
        <w:br/>
      </w:r>
      <w:r w:rsidRPr="00D67688">
        <w:rPr>
          <w:rFonts w:ascii="Arial" w:eastAsia="Times New Roman" w:hAnsi="Arial" w:cs="Arial"/>
          <w:b/>
          <w:bCs/>
          <w:color w:val="000000"/>
          <w:sz w:val="22"/>
          <w:szCs w:val="22"/>
          <w:lang w:val="es-AR" w:eastAsia="es-ES_tradnl"/>
        </w:rPr>
        <w:br/>
        <w:t>DECNU-2020-260-APN-PTE - Coronavirus (COVID-19). Disposiciones.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r>
      <w:r w:rsidRPr="00D67688">
        <w:rPr>
          <w:rFonts w:ascii="Arial" w:eastAsia="Times New Roman" w:hAnsi="Arial" w:cs="Arial"/>
          <w:b/>
          <w:bCs/>
          <w:color w:val="000000"/>
          <w:sz w:val="22"/>
          <w:szCs w:val="22"/>
          <w:lang w:val="es-AR" w:eastAsia="es-ES_tradnl"/>
        </w:rPr>
        <w:t>EMERGENCIA</w:t>
      </w:r>
      <w:bookmarkStart w:id="0" w:name="_GoBack"/>
      <w:bookmarkEnd w:id="0"/>
      <w:r w:rsidRPr="00D67688">
        <w:rPr>
          <w:rFonts w:ascii="Arial" w:eastAsia="Times New Roman" w:hAnsi="Arial" w:cs="Arial"/>
          <w:b/>
          <w:bCs/>
          <w:color w:val="000000"/>
          <w:sz w:val="22"/>
          <w:szCs w:val="22"/>
          <w:lang w:val="es-AR" w:eastAsia="es-ES_tradnl"/>
        </w:rPr>
        <w:t xml:space="preserve"> SANITARIA</w:t>
      </w:r>
      <w:r w:rsidRPr="00D67688">
        <w:rPr>
          <w:rFonts w:ascii="Arial" w:eastAsia="Times New Roman" w:hAnsi="Arial" w:cs="Arial"/>
          <w:b/>
          <w:bCs/>
          <w:color w:val="000000"/>
          <w:sz w:val="22"/>
          <w:szCs w:val="22"/>
          <w:lang w:val="es-AR" w:eastAsia="es-ES_tradnl"/>
        </w:rPr>
        <w:br/>
      </w:r>
      <w:r w:rsidRPr="00D67688">
        <w:rPr>
          <w:rFonts w:ascii="Arial" w:eastAsia="Times New Roman" w:hAnsi="Arial" w:cs="Arial"/>
          <w:b/>
          <w:bCs/>
          <w:color w:val="000000"/>
          <w:sz w:val="22"/>
          <w:szCs w:val="22"/>
          <w:lang w:val="es-AR" w:eastAsia="es-ES_tradnl"/>
        </w:rPr>
        <w:br/>
      </w:r>
      <w:r w:rsidRPr="00D67688">
        <w:rPr>
          <w:rFonts w:ascii="Arial" w:eastAsia="Times New Roman" w:hAnsi="Arial" w:cs="Arial"/>
          <w:b/>
          <w:bCs/>
          <w:color w:val="037DB0"/>
          <w:sz w:val="22"/>
          <w:szCs w:val="22"/>
          <w:lang w:val="es-AR" w:eastAsia="es-ES_tradnl"/>
        </w:rPr>
        <w:t>EMERGENCIA SANITARIA </w:t>
      </w:r>
      <w:r w:rsidRPr="00D67688">
        <w:rPr>
          <w:rFonts w:ascii="Arial" w:eastAsia="Times New Roman" w:hAnsi="Arial" w:cs="Arial"/>
          <w:color w:val="000000"/>
          <w:sz w:val="22"/>
          <w:szCs w:val="22"/>
          <w:lang w:val="es-AR" w:eastAsia="es-ES_tradnl"/>
        </w:rPr>
        <w:br/>
      </w:r>
    </w:p>
    <w:p w:rsidR="00D67688" w:rsidRPr="00D67688" w:rsidRDefault="00D67688" w:rsidP="00D67688">
      <w:pPr>
        <w:jc w:val="both"/>
        <w:outlineLvl w:val="0"/>
        <w:rPr>
          <w:rFonts w:ascii="Arial" w:eastAsia="Times New Roman" w:hAnsi="Arial" w:cs="Arial"/>
          <w:color w:val="037DB0"/>
          <w:kern w:val="36"/>
          <w:sz w:val="22"/>
          <w:szCs w:val="22"/>
          <w:lang w:val="es-AR" w:eastAsia="es-ES_tradnl"/>
        </w:rPr>
      </w:pPr>
      <w:r w:rsidRPr="00D67688">
        <w:rPr>
          <w:rFonts w:ascii="Arial" w:eastAsia="Times New Roman" w:hAnsi="Arial" w:cs="Arial"/>
          <w:color w:val="037DB0"/>
          <w:kern w:val="36"/>
          <w:sz w:val="22"/>
          <w:szCs w:val="22"/>
          <w:lang w:val="es-AR" w:eastAsia="es-ES_tradnl"/>
        </w:rPr>
        <w:t>CORONAVIRUS (COVID-19) - DISPOSICIONES</w:t>
      </w:r>
    </w:p>
    <w:p w:rsidR="00D67688" w:rsidRPr="00D67688" w:rsidRDefault="00D67688" w:rsidP="00D67688">
      <w:pPr>
        <w:pBdr>
          <w:bottom w:val="dotted" w:sz="6" w:space="15" w:color="000000"/>
        </w:pBdr>
        <w:jc w:val="both"/>
        <w:rPr>
          <w:rFonts w:ascii="Arial" w:eastAsia="Times New Roman" w:hAnsi="Arial" w:cs="Arial"/>
          <w:color w:val="000000"/>
          <w:sz w:val="22"/>
          <w:szCs w:val="22"/>
          <w:lang w:val="es-AR" w:eastAsia="es-ES_tradnl"/>
        </w:rPr>
      </w:pPr>
      <w:r w:rsidRPr="00D67688">
        <w:rPr>
          <w:rFonts w:ascii="Arial" w:eastAsia="Times New Roman" w:hAnsi="Arial" w:cs="Arial"/>
          <w:color w:val="000000"/>
          <w:sz w:val="22"/>
          <w:szCs w:val="22"/>
          <w:lang w:val="es-AR" w:eastAsia="es-ES_tradnl"/>
        </w:rPr>
        <w:t>Publicada en el Boletín Oficial del </w:t>
      </w:r>
      <w:hyperlink r:id="rId4" w:history="1">
        <w:r w:rsidRPr="00D67688">
          <w:rPr>
            <w:rFonts w:ascii="Arial" w:eastAsia="Times New Roman" w:hAnsi="Arial" w:cs="Arial"/>
            <w:color w:val="016994"/>
            <w:sz w:val="22"/>
            <w:szCs w:val="22"/>
            <w:u w:val="single"/>
            <w:lang w:val="es-AR" w:eastAsia="es-ES_tradnl"/>
          </w:rPr>
          <w:t>12-mar-2020</w:t>
        </w:r>
      </w:hyperlink>
      <w:r w:rsidRPr="00D67688">
        <w:rPr>
          <w:rFonts w:ascii="Arial" w:eastAsia="Times New Roman" w:hAnsi="Arial" w:cs="Arial"/>
          <w:color w:val="000000"/>
          <w:sz w:val="22"/>
          <w:szCs w:val="22"/>
          <w:lang w:val="es-AR" w:eastAsia="es-ES_tradnl"/>
        </w:rPr>
        <w:t>    Número: </w:t>
      </w:r>
      <w:hyperlink r:id="rId5" w:history="1">
        <w:r w:rsidRPr="00D67688">
          <w:rPr>
            <w:rFonts w:ascii="Arial" w:eastAsia="Times New Roman" w:hAnsi="Arial" w:cs="Arial"/>
            <w:color w:val="016994"/>
            <w:sz w:val="22"/>
            <w:szCs w:val="22"/>
            <w:u w:val="single"/>
            <w:lang w:val="es-AR" w:eastAsia="es-ES_tradnl"/>
          </w:rPr>
          <w:t>34327</w:t>
        </w:r>
      </w:hyperlink>
      <w:r w:rsidRPr="00D67688">
        <w:rPr>
          <w:rFonts w:ascii="Arial" w:eastAsia="Times New Roman" w:hAnsi="Arial" w:cs="Arial"/>
          <w:color w:val="000000"/>
          <w:sz w:val="22"/>
          <w:szCs w:val="22"/>
          <w:lang w:val="es-AR" w:eastAsia="es-ES_tradnl"/>
        </w:rPr>
        <w:t>    Página: 1</w:t>
      </w:r>
    </w:p>
    <w:p w:rsidR="00D67688" w:rsidRPr="00D67688" w:rsidRDefault="00D67688" w:rsidP="00D67688">
      <w:pPr>
        <w:jc w:val="both"/>
        <w:rPr>
          <w:rFonts w:ascii="Arial" w:eastAsia="Times New Roman" w:hAnsi="Arial" w:cs="Arial"/>
          <w:sz w:val="22"/>
          <w:szCs w:val="22"/>
          <w:lang w:val="es-AR" w:eastAsia="es-ES_tradnl"/>
        </w:rPr>
      </w:pPr>
      <w:r w:rsidRPr="00D67688">
        <w:rPr>
          <w:rFonts w:ascii="Arial" w:eastAsia="Times New Roman" w:hAnsi="Arial" w:cs="Arial"/>
          <w:color w:val="000000"/>
          <w:sz w:val="22"/>
          <w:szCs w:val="22"/>
          <w:lang w:val="es-AR" w:eastAsia="es-ES_tradnl"/>
        </w:rPr>
        <w:br/>
      </w:r>
    </w:p>
    <w:p w:rsidR="00D67688" w:rsidRPr="00D67688" w:rsidRDefault="00D67688" w:rsidP="00D67688">
      <w:pPr>
        <w:pBdr>
          <w:bottom w:val="dotted" w:sz="6" w:space="15" w:color="000000"/>
        </w:pBdr>
        <w:jc w:val="both"/>
        <w:rPr>
          <w:rFonts w:ascii="Arial" w:eastAsia="Times New Roman" w:hAnsi="Arial" w:cs="Arial"/>
          <w:color w:val="000000"/>
          <w:sz w:val="22"/>
          <w:szCs w:val="22"/>
          <w:lang w:val="es-AR" w:eastAsia="es-ES_tradnl"/>
        </w:rPr>
      </w:pPr>
      <w:r w:rsidRPr="00D67688">
        <w:rPr>
          <w:rFonts w:ascii="Arial" w:eastAsia="Times New Roman" w:hAnsi="Arial" w:cs="Arial"/>
          <w:b/>
          <w:bCs/>
          <w:color w:val="000000"/>
          <w:sz w:val="22"/>
          <w:szCs w:val="22"/>
          <w:lang w:val="es-AR" w:eastAsia="es-ES_tradnl"/>
        </w:rPr>
        <w:t>Resumen:</w:t>
      </w:r>
      <w:r w:rsidRPr="00D67688">
        <w:rPr>
          <w:rFonts w:ascii="Arial" w:eastAsia="Times New Roman" w:hAnsi="Arial" w:cs="Arial"/>
          <w:color w:val="000000"/>
          <w:sz w:val="22"/>
          <w:szCs w:val="22"/>
          <w:lang w:val="es-AR" w:eastAsia="es-ES_tradnl"/>
        </w:rPr>
        <w:br/>
        <w:t>AMPLIASE LA EMERGENCIA PUBLICA EN MATERIA SANITARIA ESTABLECIDA POR LEY N° 27.541, EN VIRTUD DE LA PANDEMIA DECLARADA POR LA ORGANIZACION MUNDIAL DE LA SALUD (OMS) EN RELACION CON EL CORONAVIRUS COVID-19, POR EL PLAZO DE UN (1) AÑO A PARTIR DE LA ENTRADA EN VIGENCIA DEL PRESENTE DECRETO. DISPOSICIONES. FACULTADES DE LA AUTORIDAD SANITARIA. AISLAMIENTO OBLIGATORIO. ACCIONES PREVENTIVAS. SUSPENSION TEMPORARIA DE VUELOS.</w:t>
      </w:r>
    </w:p>
    <w:p w:rsidR="00D67688" w:rsidRPr="00D67688" w:rsidRDefault="00D67688" w:rsidP="00D67688">
      <w:pPr>
        <w:jc w:val="both"/>
        <w:rPr>
          <w:rFonts w:ascii="Arial" w:eastAsia="Times New Roman" w:hAnsi="Arial" w:cs="Arial"/>
          <w:sz w:val="22"/>
          <w:szCs w:val="22"/>
          <w:lang w:val="es-AR" w:eastAsia="es-ES_tradnl"/>
        </w:rPr>
      </w:pPr>
      <w:r w:rsidRPr="00D67688">
        <w:rPr>
          <w:rFonts w:ascii="Arial" w:eastAsia="Times New Roman" w:hAnsi="Arial" w:cs="Arial"/>
          <w:color w:val="000000"/>
          <w:sz w:val="22"/>
          <w:szCs w:val="22"/>
          <w:lang w:val="es-AR" w:eastAsia="es-ES_tradnl"/>
        </w:rPr>
        <w:br/>
      </w:r>
    </w:p>
    <w:p w:rsidR="00D67688" w:rsidRPr="00D67688" w:rsidRDefault="00D67688" w:rsidP="00D67688">
      <w:pPr>
        <w:pBdr>
          <w:bottom w:val="dotted" w:sz="6" w:space="15" w:color="000000"/>
        </w:pBdr>
        <w:jc w:val="both"/>
        <w:rPr>
          <w:rFonts w:ascii="Arial" w:eastAsia="Times New Roman" w:hAnsi="Arial" w:cs="Arial"/>
          <w:color w:val="000000"/>
          <w:sz w:val="22"/>
          <w:szCs w:val="22"/>
          <w:lang w:val="es-AR" w:eastAsia="es-ES_tradnl"/>
        </w:rPr>
      </w:pPr>
      <w:r w:rsidRPr="00D67688">
        <w:rPr>
          <w:rFonts w:ascii="Arial" w:eastAsia="Times New Roman" w:hAnsi="Arial" w:cs="Arial"/>
          <w:b/>
          <w:bCs/>
          <w:color w:val="000000"/>
          <w:sz w:val="22"/>
          <w:szCs w:val="22"/>
          <w:lang w:val="es-AR" w:eastAsia="es-ES_tradnl"/>
        </w:rPr>
        <w:t>Observaciones:</w:t>
      </w:r>
      <w:r w:rsidRPr="00D67688">
        <w:rPr>
          <w:rFonts w:ascii="Arial" w:eastAsia="Times New Roman" w:hAnsi="Arial" w:cs="Arial"/>
          <w:color w:val="000000"/>
          <w:sz w:val="22"/>
          <w:szCs w:val="22"/>
          <w:lang w:val="es-AR" w:eastAsia="es-ES_tradnl"/>
        </w:rPr>
        <w:t> </w:t>
      </w:r>
      <w:r w:rsidRPr="00D67688">
        <w:rPr>
          <w:rFonts w:ascii="Arial" w:eastAsia="Times New Roman" w:hAnsi="Arial" w:cs="Arial"/>
          <w:color w:val="000000"/>
          <w:sz w:val="22"/>
          <w:szCs w:val="22"/>
          <w:lang w:val="es-AR" w:eastAsia="es-ES_tradnl"/>
        </w:rPr>
        <w:br/>
        <w:t>LA PRESENTE NORMA FUE PUBLICADA EN SUPLEMENTO DE BOLETIN OFICIAL.</w:t>
      </w:r>
    </w:p>
    <w:p w:rsidR="00D67688" w:rsidRPr="00D67688" w:rsidRDefault="00D67688" w:rsidP="00D67688">
      <w:pPr>
        <w:jc w:val="both"/>
        <w:rPr>
          <w:rFonts w:ascii="Arial" w:eastAsia="Times New Roman" w:hAnsi="Arial" w:cs="Arial"/>
          <w:color w:val="000000"/>
          <w:sz w:val="22"/>
          <w:szCs w:val="22"/>
          <w:lang w:val="es-AR" w:eastAsia="es-ES_tradnl"/>
        </w:rPr>
      </w:pPr>
    </w:p>
    <w:p w:rsidR="00D67688" w:rsidRPr="00D67688" w:rsidRDefault="00D67688" w:rsidP="00D67688">
      <w:pPr>
        <w:jc w:val="both"/>
        <w:rPr>
          <w:rFonts w:ascii="Arial" w:eastAsia="Times New Roman" w:hAnsi="Arial" w:cs="Arial"/>
          <w:color w:val="000000"/>
          <w:sz w:val="22"/>
          <w:szCs w:val="22"/>
          <w:lang w:val="es-AR" w:eastAsia="es-ES_tradnl"/>
        </w:rPr>
      </w:pPr>
      <w:r w:rsidRPr="00D67688">
        <w:rPr>
          <w:rFonts w:ascii="Arial" w:eastAsia="Times New Roman" w:hAnsi="Arial" w:cs="Arial"/>
          <w:color w:val="000000"/>
          <w:sz w:val="22"/>
          <w:szCs w:val="22"/>
          <w:lang w:val="es-AR" w:eastAsia="es-ES_tradnl"/>
        </w:rPr>
        <w:t>Ciudad de Buenos Aires, 12/03/2020</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VISTO el Expediente N° EX-2020-16469629- -APN-DD#MSYDS, las Leyes Nros. 26.522, 26.529 y 27.541, el Decreto 644 del 4 de junio de 2007, y</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CONSIDERANDO: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en los últimos días se ha constatado la propagación de casos del nuevo coronavirus COVID-19 en numerosos países de diferentes continentes, llegando a nuestra región y a nuestro país. Que, en la situación actual, resulta necesario la adopción de nuevas medidas oportunas, transparentes, consensuadas y basadas en evidencia científica, que se sumen a las ya adoptadas desde el inicio de esta situación epidemiológica, a fin de mitigar su propagación y su impacto sanitario.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en el marco de la declaración de emergencia pública en materia sanitaria declarada por el artículo 1° de la Ley N° 27.541, resulta procedente su ampliación respecto de las medidas a adoptar con relación al coronavirus COVID-19.</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la evolución de la situación epidemiológica exige que se adopten medidas rápidas, eficaces y urgentes, por lo que deviene imposible seguir los trámites ordinarios para la sanción de las leyes.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la Ley N° 26.122, regula el trámite y los alcances de la intervención del HONORABLE CONGRESO DE LA NACIÓN respecto de los Decretos de Necesidad y Urgencia dictados por el PODER EJECUTIVO NACIONAL, en virtud de lo dispuesto por el artículo 99, inciso 3, de la CONSTITUCIÓN NACIONAL.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lastRenderedPageBreak/>
        <w:t>Que la citada ley determina que la COMISIÓN BICAMERAL PERMANENTE tiene competencia para pronunciarse respecto de la validez o invalidez de los Decretos de Necesidad y Urgencia, así como para elevar el dictamen al plenario de cada Cámara para su expreso tratamiento, en el plazo de DIEZ (10) días hábiles.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el artículo 22 de la Ley N° 26.122 dispone que las Cámaras se pronuncien mediante sendas resoluciones, y que el rechazo o aprobación de los decretos deberá ser expreso conforme lo establecido en el artículo 82 de la Carta Magna.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el servicio jurídico pertinente ha tomado la intervención de su competencia.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la presente medida se dicta en uso de las atribuciones conferidas por el artículo 99, incisos 1 y 3 de la CONSTITUCIÓN NACIONAL.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Por ello,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EL PRESIDENTE DE LA NACIÓN ARGENTINA EN ACUERDO GENERAL DE MINISTROS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DECRETA: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 EMERGENCIA SANITARIA: Amplíase la emergencia pública en materia sanitaria establecida por Ley N° 27.541, en virtud de la Pandemia declarada por la ORGANIZACIÓN MUNDIAL DE LA SALUD (OMS) en relación con el coronavirus COVID-19, por el plazo de UN (1) año a partir de la entrada en vigencia del presente decreto.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 FACULTADES DE LA AUTORIDAD SANITARIA: Facúltase al MINISTERIO DE SALUD, como autoridad de aplicación, y en el marco de la emergencia declarada, 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 Disponer las recomendaciones y medidas a adoptar respecto de la situación epidemiológica, a fin de mitigar el impacto sanitario.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2. Difundir en medios de comunicación masiva y a través de los espacios publicitarios gratuitos asignados a tal fin en los términos del artículo 76 de la Ley de Servicios de Comunicación Audiovisual N° 26.522, las medidas sanitarias que se adopten.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3. Realizar campañas educativas y de difusión para brindar información a la comunidad.</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4. Recomendar restricciones de viajes desde o hacia las zonas afectadas.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5. Instar a las personas sintomáticas procedentes de zonas afectadas a abstenerse de viajar hacia la República Argentina, hasta tanto cuenten con un diagnóstico médico de la autoridad sanitaria del país en el que se encuentren, con la debida certificación que descarte la posibilidad de contagio.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6. Efectuar la adquisición directa de bienes, servicios o equipamiento que sean necesarios para atender la emergencia, en base a evidencia científica y análisis de información estratégica de salud, sin sujeción al régimen de contrataciones de la administración nacional. En todos los casos deberá procederse a su publicación posterior.</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7. Contratar a ex funcionarios o personal jubilado o retirado, exceptúandolos temporariamente del régimen de incompatibilidades vigentes para la administración pública nacional.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8. Autorizar, en forma excepcional y temporaria, la contratación y el ejercicio de profesionales y técnicos de salud titulados en el extranjero, cuyo título no esté revalidado o habilitado en la República Argentina.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9. Coordinar la distribución de los productos farmacéuticos y elementos de uso médico que se requieran para satisfacer la demanda ante la emergencia.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lastRenderedPageBreak/>
        <w:t>10. Entregar, a título gratuito u oneroso, medicamentos, dispositivos médicos u otros elementos sanitizantes.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11. Coordinar con las distintas jurisdicciones, la aplicación obligatoria de medidas sanitarias de desinfección en medios de transporte, salas de clases, lugares de trabajos y, en general, en cualquier lugar de acceso público o donde exista o pueda existir aglomeración de personas.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12. Coordinar con las distintas jurisdicciones la adopción de medidas de salud pública, para restringir el desembarco de pasajeros de naves y aeronaves o circulación de transporte colectivo de pasajeros, subterráneos o trenes, o el aislamiento de zonas o regiones, o establecer restricciones de traslados, y sus excepciones.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13. Establecer la declaración jurada de estado de salud como medida de control sanitario obligatorio para viajeros y otras que se estimen necesarias, incluso al momento de la partida, antes o durante su arribo al país.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14. Autorizar la instalación y funcionamiento de hospitales de campaña o modulares aun sin contar con los requisitos y autorizaciones administrativas previas.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15. Articular con las jurisdicciones locales, la comunicación de riesgo, tanto pública como privada, en todos sus niveles.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16. Adoptar cualquier otra medida que resulte necesaria a fin de mitigar los efectos de la pandemia declarada por la Organización Mundial de la Salud (OMS).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3°.- INFORMACIÓN A LA POBLACIÓN: El MINISTERIO DE SALUD dará información diaria sobre las “zonas afectadas” y la situación epidemiológica, respecto a la propagación, contención, y mitigación de esta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enfermedad, debiendo guardar confidencialidad acerca de la identidad de las personas afectadas y dando cumplimiento a la normativa de resguardo de secreto profesional.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4°.- ZONAS AFECTADAS POR LA PANDEMIA: A la fecha de dictado del presente decreto, se consideran “zonas afectadas” por la pandemia de COVID-19, a los Estados miembros de la Unión Europea, miembros del Espacio Schengen, Reino Unido de Gran Bretaña e Irlanda del Norte, Estados Unidos de América, República de Corea, Estado del Japón, República Popular China y República Islámica de Irán.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La autoridad de aplicación actualizará diariamente la información al respecto, según la evolución epidemiológica.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5°.- INFORMACIÓN A EFECTORES DE SALUD: El MINISTERIO DE SALUD, conjuntamente con sus pares provinciales y de la Ciudad Autónoma de Buenos Aires, mantendrán informados a los centros de salud y profesionales sanitarios, públicos y privados, sobre las medidas de prevención, atención, contención y mitigación,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que corresponde adoptar para dar respuesta al COVID-19. Todos los efectores de salud públicos o privados deberán adoptar medidas para suspender las licencias del personal de salud afectado a la emergencia.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6°.- INSUMOS CRÍTICOS: El MINISTERIO DE SALUD, conjuntamente con el MINISTERIO DE DESARROLLO PRODUCTIVO, podrán fijar precios máximos para el alcohol en gel, los barbijos, u otros insumos críticos, definidos como tales. Asimismo, podrán adoptar las medidas necesarias para prevenir su desabastecimiento.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7°.- AISLAMIENTO OBLIGATORIO. ACCIONES PREVENTIVAS: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 xml:space="preserve">1. Deberán permanecer aisladas durante 14 días, plazo que podrá ser modificado por la autoridad de </w:t>
      </w:r>
      <w:r w:rsidRPr="00D67688">
        <w:rPr>
          <w:rFonts w:ascii="Arial" w:eastAsia="Times New Roman" w:hAnsi="Arial" w:cs="Arial"/>
          <w:color w:val="000000"/>
          <w:sz w:val="22"/>
          <w:szCs w:val="22"/>
          <w:lang w:val="es-AR" w:eastAsia="es-ES_tradnl"/>
        </w:rPr>
        <w:lastRenderedPageBreak/>
        <w:t>aplicación según la evolución epidemiológica, las siguientes personas: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 Quienes revistan la condición de “casos sospechosos”. A los fines del presente Decreto, se considera “caso sospechoso” a la persona que presenta fiebre y uno o más síntomas respiratorios (tos, dolor de garganta o dificultad respiratoria) y que además, en los últimos días, tenga historial de viaje a “zonas afectadas” o haya estado en contacto con casos confirmados o probables de COVID-19. La definición podrá ser actualizada por la autoridad sanitaria, en función de la evolución epidemiológica.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b) Quienes posean confirmación médica de haber contraído el COVID – 19.</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c) Los “contactos estrechos” de las personas comprendidas en los apartados a) y b) precedentes en los términos en que lo establece la autoridad de aplicación.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d) Quienes arriben al país habiendo transitado por “zonas afectadas”. Estas personas deberán también brindar información sobre su itinerario, declarar su domicilio en el país y someterse a un examen médico lo menos invasivo posible para determinar el potencial riesgo de contagio y las acciones preventivas a adoptar que deberán ser cumplidas, sin excepción. No podrán ingresar ni permanecer en el territorio nacional los extranjeros no residentes en el país que no den cumplimiento a la normativa sobre aislamiento obligatorio y a las medidas sanitarias vigentes, salvo excepciones dispuestas por la autoridad sanitaria o migratoria.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e) Quienes hayan arribado al país en los últimos 14 días, habiendo transitado por “zonas afectadas”. No podrán permanecer en el territorio nacional los extranjeros no residentes en el país que no den cumplimiento a la normativa sobre aislamiento obligatorio y a las medidas sanitarias vigentes, salvo excepciones dispuestas por la autoridad sanitaria o migratoria.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En caso de verificarse el incumplimiento del aislamiento indicado y demás obligaciones establecidas en el presente artículo, los funcionarios o funcionarias, personal de salud, personal a cargo de establecimientos educativos y autoridades en general que tomen conocimiento de tal circunstancia, deberán radicar denuncia penal para investigar la posible comisión de los delitos previstos en los artículos 205, 239 y concordantes del Código Penal.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Con el fin de controlar la trasmisión del COVID- 19, la autoridad sanitaria competente, además de realizar las acciones preventivas generales, realizará el seguimiento de la evolución de las personas enfermas y el de las personas que estén o hayan estado en contacto con las mismas.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8°.- OBLIGACIÓN DE LA POBLACIÓN DE REPORTAR SÍNTOMAS: Las personas que presenten síntomas compatibles con COVID-19 deberán reportar de inmediato dicha situación a los prestadores de salud, con la modalidad establecida en las recomendaciones sanitarias vigentes en cada jurisdicción.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9°.- SUSPENSIÓN TEMPORARIA DE VUELOS: Se dispone la suspensión de los vuelos internacionales de pasajeros provenientes de las “zonas afectadas”, durante el plazo de TREINTA (30) días.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La autoridad de aplicación podrá prorrogar o abreviar el plazo dispuesto, en atención a la evolución de la situación epidemiológica. También podrá disponer excepciones a fin de facilitar el regreso de las personas residentes en el país, aplicando todas las medidas preventivas correspondientes, y para atender otras circunstancias de necesidad.</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10.- COORDINACIÓN DE ACCIONES EN EL SECTOR PÚBLICO NACIONAL: El Jefe de Gabinete de Ministros coordinará con los distintos organismos del sector público nacional, la implementación de las acciones y políticas para el adecuado cumplimiento de las recomendaciones que disponga la autoridad sanitaria nacional, en el marco de la emergencia y de la situación epidemiológica.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 xml:space="preserve">Modifícase la denominación y conformación de la Unidad de Coordinación General del Plan Integral </w:t>
      </w:r>
      <w:r w:rsidRPr="00D67688">
        <w:rPr>
          <w:rFonts w:ascii="Arial" w:eastAsia="Times New Roman" w:hAnsi="Arial" w:cs="Arial"/>
          <w:color w:val="000000"/>
          <w:sz w:val="22"/>
          <w:szCs w:val="22"/>
          <w:lang w:val="es-AR" w:eastAsia="es-ES_tradnl"/>
        </w:rPr>
        <w:lastRenderedPageBreak/>
        <w:t>de Pandemia de Influenza y la Comisión Ejecutiva creada por el Decreto 644/07, la cual en adelante se denominará “Unidad de Coordinación General del Plan Integral para la Prevención de Eventos de Salud Pública de Importancia Internacional”. La misma será coordinada por el Jefe de Gabinete de Ministros y estará integrada por las áreas pertinentes del MINISTERIO DE SALUD y las demás jurisdicciones y entidades que tengan competencia sobre la presente temática.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11.- ACTUACIÓN DE LOS MINISTERIOS DE SEGURIDAD, DEL INTERIOR, DE DEFENSA Y DE RELACIONES EXTERIORES, COMERCIO INTERNACIONAL Y CULTO, EN LA EMERGENCIA SANITARIA: Los MINISTERIOS DE SEGURIDAD y DEL INTERIOR deberán dar apoyo a las autoridades sanitarias en los puntos de entrada del país para el ejercicio de la función de Sanidad de Fronteras, cuando ello resulte necesario para detectar, evaluar y derivar los casos sospechosos de ser compatibles con el COVID-19. Asimismo, el MINISTERIO DE SEGURIDAD deberá disponer las acciones conducentes a fin de dar cumplimiento a las medidas dispuestas en el marco de la emergencia, y con intervención de la autoridad jurisdiccional competente, cuando así correspondiere. El Sistema Nacional para la Gestión Integral del Riesgo y la Protección Civil, creado por Ley N° 27.287, brindará el apoyo que le sea requerido por el MINISTERIO DE SALUD. El MINISTERIO DEL INTERIOR a través de la DIRECCION NACIONAL DE MIGRACIONES y el MINISTERIO DE RELACIONES EXTERIORES, COMERCIO INTERNACIONAL Y CULTO, brindarán la información que les sea requerida por el MINISTERIO DE SALUD y el DE SEGURIDAD, para contribuir a la identificación y localización de las personas que puedan reunir la condición de “caso sospechoso”, así como de quienes hubieran estado en contacto estrecho con ellas. El MINISTERIO DE DEFENSA pondrá a disposición de quienes deban estar aislados, las unidades habitacionales que tenga disponibles, según las prioridades que establezca la autoridad de aplicación, para atender la recomendación médica, cuando la persona afectada no tuviera otra opción de residencia. Asimismo, sus dependencias y profesionales de salud estarán disponibles para el apoyo que se les requiera. El MINISTERIO DEL INTERIOR, de conformidad con las recomendaciones de la autoridad sanitaria, podrá proceder a la suspensión de la entrega de las visas requeridas.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12.- ACTUACIÓN DEL MINISTERIO DE TRABAJO, EMPLEO Y SEGURIDAD SOCIAL EN LA EMERGENCIA SANITARIA: El MINISTERIO DE TRABAJO, EMPLEO Y SEGURIDAD SOCIAL establecerá las condiciones de trabajo y licencias que deberán cumplir quienes se encuentren comprendidos en las previsiones del artículo 7° del presente decreto, durante el plazo que establezca la autoridad sanitaria. También podrán establecerse regímenes especiales de licencias de acuerdo a las recomendaciones sanitarias.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13.- ACTUACIÓN DEL MINISTERIO DE EDUCACIÓN EN LA EMERGENCIA SANITARIA: El MINISTERIO DE EDUCACIÓN establecerá las condiciones en que se desarrollará la escolaridad respecto de los establecimientos públicos y privados de todos los niveles durante la emergencia, de conformidad con las recomendaciones de la autoridad sanitaria, y en coordinación con las autoridades competentes de las distintas jurisdicciones.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14.- ACTUACIÓN DEL MINISTERIO DE DESARROLLO SOCIAL EN LA EMERGENCIA SANITARIA: El MINISTERIO DE DESARROLLO SOCIAL deberá prever los mecanismos, orientaciones y protocolos para que la ayuda social prestada a través de comedores, residencias u otros dispositivos, se brinde de conformidad con las recomendaciones de la autoridad sanitaria.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15.- ACTUACIÓN DEL MINISTERIO DE TURISMO Y DEPORTES EN LA EMERGENCIA SANITARIA: La autoridad de aplicación, conjuntamente con el MINISTERIO DE TURISMO Y DEPORTES dispondrán la implementación de las medidas preventivas para mitigar la propagación del COVID-19, respecto de los y las turistas provenientes de zonas afectadas. También podrán disponer que las empresas comercializadoras de servicios y productos turísticos difundan la información oficial que se indique para la prevención de la enfermedad.</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 xml:space="preserve">ARTÍCULO 16.- CORREDORES SEGUROS AÉREOS, MARÍTIMOS Y TERRESTRES: El MINISTERIO DE TRANSPORTE, a través del ORGANISMO REGULADOR DEL SISTEMA NACIONAL DE AEROPUERTOS –ORSNA-, o de la SUBSECRETARÍA DE PUERTOS VÍAS NAVEGABLES Y MARINA MERCANTE, así como los MINISTERIOS DE SEGURIDAD y DEL INTERIOR, podrán designar, conjuntamente con el MINISTERIO DE SALUD, corredores seguros aéreos, marítimos y </w:t>
      </w:r>
      <w:r w:rsidRPr="00D67688">
        <w:rPr>
          <w:rFonts w:ascii="Arial" w:eastAsia="Times New Roman" w:hAnsi="Arial" w:cs="Arial"/>
          <w:color w:val="000000"/>
          <w:sz w:val="22"/>
          <w:szCs w:val="22"/>
          <w:lang w:val="es-AR" w:eastAsia="es-ES_tradnl"/>
        </w:rPr>
        <w:lastRenderedPageBreak/>
        <w:t>terrestres, si la autoridad sanitaria identificase que determinados puntos de entrada al país, son los que reúnen las mejores capacidades básicas para responder a la emergencia sanitaria declarada internacionalmente de COVID-19.</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17.- OBLIGACIONES DE LOS OPERADORES DE MEDIOS DE TRANSPORTE: Los operadores de medios de transporte, internacionales y nacionales, que operan en la República Argentina, estarán obligados a cumplir las medidas sanitarias y las acciones preventivas que se establezcan y emitir los reportes que les sean requeridos, en tiempo oportuno.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18.- EVENTOS MASIVOS: Podrá disponerse el cierre de museos, centros deportivos, salas de juegos, restaurantes, piscinas y demás lugares de acceso público; suspender espectáculos públicos y todo otro evento masivo; imponer distancias de seguridad y otras medidas necesarias para evitar aglomeraciones. A fin de implementar esta medida, deberán coordinarse las acciones necesarias con las autoridades jurisdiccionales correspondientes.</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19.- COOPERACIÓN: Invítase a cooperar en la implementación de las medidas recomendadas y/o dispuestas en virtud del presente Decreto, a fin de evitar conglomerados de personas para mitigar el impacto sanitario de la pandemia, a las entidades científicas, sindicales, académicas, religiosas, y demás organizaciones de la sociedad civil.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20.- NORMATIVA. EXCEPCIONES: La autoridad de aplicación dictará las normas que resulten necesarias a fin de dar cumplimiento al presente decreto y podrá modificar plazos y establecer las excepciones que estime convenientes, con la finalidad de mitigar el impacto de la epidemia y adaptar la normativa a la dinámica de la misma.</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21.- TRATO DIGNO. VIGENCIA DE DERECHOS: Las medidas sanitarias que se dispongan en el marco del presente decreto deberán ser lo menos restrictivas posible y con base en criterios científicamente aceptables. Las personas afectadas por dichas medidas tendrán asegurados sus derechos, en particular:</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I - el derecho a estar permanentemente informado sobre su estado de salud;</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II - el derecho a la atención sin discriminación;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III – el derecho al trato digno.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22.- INFRACCIONES A LAS NORMAS DE LA EMERGENCIA SANITARIA: La infracción a las medidas previstas en este Decreto dará lugar a las sanciones que resulten aplicables según la normativa vigente, sin perjuicio de las denuncias penales que corresponda efectuar para determinar la eventual comisión de delitos de acción pública, conforme lo previsto en los artículos 205, 239 y concordantes del Código Penal.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23.- REASIGNACIÓN DE PARTIDAS PRESUPUESTARIAS: El Jefe de Gabinete de Ministros realizará la reasignación de partidas presupuestarias correspondientes para la implementación del presente.</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24.- ORDEN PÚBLICO: El presente Decreto es una norma de orden público.</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25.- VIGENCIA: La presente medida entrará en vigencia a partir del día de su publicación en el Boletín Oficial.</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ARTÍCULO 26.- Dése cuenta a la Comisión Bicameral Permanente del Honorable Congreso de la Nación.</w:t>
      </w:r>
      <w:r w:rsidRPr="00D67688">
        <w:rPr>
          <w:rFonts w:ascii="Arial" w:eastAsia="Times New Roman" w:hAnsi="Arial" w:cs="Arial"/>
          <w:color w:val="000000"/>
          <w:sz w:val="22"/>
          <w:szCs w:val="22"/>
          <w:lang w:val="es-AR" w:eastAsia="es-ES_tradnl"/>
        </w:rPr>
        <w:br/>
      </w:r>
      <w:r w:rsidRPr="00D67688">
        <w:rPr>
          <w:rFonts w:ascii="Arial" w:eastAsia="Times New Roman" w:hAnsi="Arial" w:cs="Arial"/>
          <w:color w:val="000000"/>
          <w:sz w:val="22"/>
          <w:szCs w:val="22"/>
          <w:lang w:val="es-AR" w:eastAsia="es-ES_tradnl"/>
        </w:rPr>
        <w:br/>
        <w:t xml:space="preserve">ARTÍCULO 27.- Comuníquese, publíquese, dése a la DIRECCIÓN NACIONAL DEL REGISTRO OFICIAL y archívese. FERNÁNDEZ - Santiago Andrés Cafiero - Eduardo Enrique de Pedro - Felipe Carlos Solá - Agustin Oscar Rossi - Martín Guzmán - Matías Sebastián Kulfas - Luis Eugenio Basterra - Mario Andrés Meoni - Gabriel Nicolás Katopodis - Marcela Miriam Losardo - Sabina Andrea Frederic </w:t>
      </w:r>
      <w:r w:rsidRPr="00D67688">
        <w:rPr>
          <w:rFonts w:ascii="Arial" w:eastAsia="Times New Roman" w:hAnsi="Arial" w:cs="Arial"/>
          <w:color w:val="000000"/>
          <w:sz w:val="22"/>
          <w:szCs w:val="22"/>
          <w:lang w:val="es-AR" w:eastAsia="es-ES_tradnl"/>
        </w:rPr>
        <w:lastRenderedPageBreak/>
        <w:t>- Ginés Mario González García - Daniel Fernando Arroyo - Elizabeth Gómez Alcorta - Nicolás A. Trotta - Tristán Bauer - Claudio Omar Moroni - Juan Cabandie - Matías Lammens - María Eugenia Bielsa</w:t>
      </w:r>
      <w:r w:rsidRPr="00D67688">
        <w:rPr>
          <w:rFonts w:ascii="Arial" w:eastAsia="Times New Roman" w:hAnsi="Arial" w:cs="Arial"/>
          <w:color w:val="000000"/>
          <w:sz w:val="22"/>
          <w:szCs w:val="22"/>
          <w:lang w:val="es-AR" w:eastAsia="es-ES_tradnl"/>
        </w:rPr>
        <w:br/>
      </w:r>
    </w:p>
    <w:p w:rsidR="00D67688" w:rsidRPr="00D67688" w:rsidRDefault="00D67688" w:rsidP="00D67688">
      <w:pPr>
        <w:jc w:val="both"/>
        <w:rPr>
          <w:rFonts w:ascii="Arial" w:eastAsia="Times New Roman" w:hAnsi="Arial" w:cs="Arial"/>
          <w:color w:val="000000"/>
          <w:sz w:val="22"/>
          <w:szCs w:val="22"/>
          <w:lang w:val="es-AR" w:eastAsia="es-ES_tradnl"/>
        </w:rPr>
      </w:pPr>
      <w:r w:rsidRPr="00D67688">
        <w:rPr>
          <w:rFonts w:ascii="Arial" w:eastAsia="Times New Roman" w:hAnsi="Arial" w:cs="Arial"/>
          <w:color w:val="000000"/>
          <w:sz w:val="22"/>
          <w:szCs w:val="22"/>
          <w:lang w:val="es-AR" w:eastAsia="es-ES_tradnl"/>
        </w:rPr>
        <w:t>e. 13/03/2020 N° 14494/20 v. 13/03/202</w:t>
      </w:r>
    </w:p>
    <w:p w:rsidR="003F3FAD" w:rsidRPr="00D67688" w:rsidRDefault="00D67688" w:rsidP="00D67688">
      <w:pPr>
        <w:jc w:val="both"/>
        <w:rPr>
          <w:rFonts w:ascii="Arial" w:hAnsi="Arial" w:cs="Arial"/>
          <w:sz w:val="22"/>
          <w:szCs w:val="22"/>
        </w:rPr>
      </w:pPr>
    </w:p>
    <w:p w:rsidR="00D67688" w:rsidRPr="00D67688" w:rsidRDefault="00D67688">
      <w:pPr>
        <w:jc w:val="both"/>
        <w:rPr>
          <w:rFonts w:ascii="Arial" w:hAnsi="Arial" w:cs="Arial"/>
          <w:sz w:val="22"/>
          <w:szCs w:val="22"/>
        </w:rPr>
      </w:pPr>
    </w:p>
    <w:sectPr w:rsidR="00D67688" w:rsidRPr="00D67688"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88"/>
    <w:rsid w:val="00023710"/>
    <w:rsid w:val="00025478"/>
    <w:rsid w:val="0004154E"/>
    <w:rsid w:val="0004736F"/>
    <w:rsid w:val="000763FC"/>
    <w:rsid w:val="000A7244"/>
    <w:rsid w:val="000B211E"/>
    <w:rsid w:val="000E79C2"/>
    <w:rsid w:val="001A740C"/>
    <w:rsid w:val="001B1038"/>
    <w:rsid w:val="001C66A0"/>
    <w:rsid w:val="002170D2"/>
    <w:rsid w:val="002E192A"/>
    <w:rsid w:val="00386178"/>
    <w:rsid w:val="003F471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D4AF7"/>
    <w:rsid w:val="009C6A79"/>
    <w:rsid w:val="009E782C"/>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67688"/>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4820A59"/>
  <w15:chartTrackingRefBased/>
  <w15:docId w15:val="{02395393-81CF-914C-BAB7-F290443F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D67688"/>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688"/>
    <w:rPr>
      <w:rFonts w:ascii="Times New Roman" w:eastAsia="Times New Roman" w:hAnsi="Times New Roman" w:cs="Times New Roman"/>
      <w:b/>
      <w:bCs/>
      <w:kern w:val="36"/>
      <w:sz w:val="48"/>
      <w:szCs w:val="48"/>
      <w:lang w:eastAsia="es-ES_tradnl"/>
    </w:rPr>
  </w:style>
  <w:style w:type="character" w:customStyle="1" w:styleId="destacado">
    <w:name w:val="destacado"/>
    <w:basedOn w:val="Fuentedeprrafopredeter"/>
    <w:rsid w:val="00D67688"/>
  </w:style>
  <w:style w:type="character" w:customStyle="1" w:styleId="apple-converted-space">
    <w:name w:val="apple-converted-space"/>
    <w:basedOn w:val="Fuentedeprrafopredeter"/>
    <w:rsid w:val="00D67688"/>
  </w:style>
  <w:style w:type="paragraph" w:styleId="NormalWeb">
    <w:name w:val="Normal (Web)"/>
    <w:basedOn w:val="Normal"/>
    <w:uiPriority w:val="99"/>
    <w:semiHidden/>
    <w:unhideWhenUsed/>
    <w:rsid w:val="00D67688"/>
    <w:pPr>
      <w:spacing w:before="100" w:beforeAutospacing="1" w:after="100" w:afterAutospacing="1"/>
    </w:pPr>
    <w:rPr>
      <w:rFonts w:ascii="Times New Roman" w:eastAsia="Times New Roman" w:hAnsi="Times New Roman" w:cs="Times New Roman"/>
      <w:lang w:val="es-AR" w:eastAsia="es-ES_tradnl"/>
    </w:rPr>
  </w:style>
  <w:style w:type="character" w:styleId="Hipervnculo">
    <w:name w:val="Hyperlink"/>
    <w:basedOn w:val="Fuentedeprrafopredeter"/>
    <w:uiPriority w:val="99"/>
    <w:semiHidden/>
    <w:unhideWhenUsed/>
    <w:rsid w:val="00D67688"/>
    <w:rPr>
      <w:color w:val="0000FF"/>
      <w:u w:val="single"/>
    </w:rPr>
  </w:style>
  <w:style w:type="character" w:styleId="Textoennegrita">
    <w:name w:val="Strong"/>
    <w:basedOn w:val="Fuentedeprrafopredeter"/>
    <w:uiPriority w:val="22"/>
    <w:qFormat/>
    <w:rsid w:val="00D6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30325">
      <w:bodyDiv w:val="1"/>
      <w:marLeft w:val="0"/>
      <w:marRight w:val="0"/>
      <w:marTop w:val="0"/>
      <w:marBottom w:val="0"/>
      <w:divBdr>
        <w:top w:val="none" w:sz="0" w:space="0" w:color="auto"/>
        <w:left w:val="none" w:sz="0" w:space="0" w:color="auto"/>
        <w:bottom w:val="none" w:sz="0" w:space="0" w:color="auto"/>
        <w:right w:val="none" w:sz="0" w:space="0" w:color="auto"/>
      </w:divBdr>
    </w:div>
    <w:div w:id="18370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g.gob.ar/?page_id=216&amp;id=34327" TargetMode="External"/><Relationship Id="rId4" Type="http://schemas.openxmlformats.org/officeDocument/2006/relationships/hyperlink" Target="http://www.infoleg.gob.ar/?page_id=216&amp;id=343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3226</Words>
  <Characters>17746</Characters>
  <Application>Microsoft Office Word</Application>
  <DocSecurity>0</DocSecurity>
  <Lines>147</Lines>
  <Paragraphs>41</Paragraphs>
  <ScaleCrop>false</ScaleCrop>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2020-03-16T17:14:00Z</dcterms:created>
  <dcterms:modified xsi:type="dcterms:W3CDTF">2020-03-16T17:16:00Z</dcterms:modified>
</cp:coreProperties>
</file>